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DBE" w:rsidRPr="003E0DBE" w:rsidRDefault="003E0DBE" w:rsidP="003E0DBE">
      <w:pPr>
        <w:jc w:val="center"/>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0000"/>
          <w:kern w:val="0"/>
          <w:sz w:val="28"/>
          <w:szCs w:val="28"/>
          <w:lang w:eastAsia="en-GB"/>
          <w14:ligatures w14:val="none"/>
        </w:rPr>
        <w:t>Методичні рекомендації</w:t>
      </w:r>
    </w:p>
    <w:p w:rsidR="003E0DBE" w:rsidRPr="003E0DBE" w:rsidRDefault="003E0DBE" w:rsidP="003E0DBE">
      <w:pPr>
        <w:jc w:val="both"/>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Проектування інформаційного освітнього середовища (ІОС) закладу або установи є важливим етапом створення сучасної інфраструктури, яка забезпечує ефективну освітню діяльність і взаємодію між учнями, викладачами та адміністрацією.</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Програмно-технічні засоби включають операційні системи, прикладні програмні засоби, автоматизовані інформаційні системи керування, програмно-методичні комплекси, електронні освітні ресурси, компоненти багаторівневих автоматизованих інформаційних систем, вебресурси глобальної мережі «Інтернет». Також програмно-технічні засоби об’єднують комп’ютерні класи, малі інформаційні комплекси, цифрові лабораторії, медіатеки, поліграфічні та демонстраційні комплекси, автоматизовані робочі місця.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Організаційно-методичні засоби базуються на законодавчих, нормативно-методичних та розпорядчих документах, включають наявність посадових обов’язків та інструкцій, регламентів, а також технології управління проєктуванням, функціонуванням, забезпеченням та розвитком ІОС.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Комунікаційні засоби є одним із головних засобів інформатизації та дозволяють прямо та опосередковано (через середовище, його ресурси) об’єднувати людей у групи, асоціації, системи, щоб вести конструктивний діалог в оперативному режимі, обмінюватись інформацією. Сучасна комунікація здійснюється у локальних та глобальних мережах, у яких реалізується і персональний, і колективний, і міжсистемний зв’язок.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Змістовні компоненти ІОС включають навчальні, методичні, науково- дослідні матеріали, а також контроль та оцінку результатів навчання. Навчальні матеріали – це система інформаційно-освітніх ресурсів, у тому числі систему електронних освітніх ресурсів, які структуровані відповідно до предметного навчання, тематики та напрямів пізнавальної діяльності.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Матеріали контролю та оцінки результатів навчання включають засоби вимірювання, оцінки та контролю знань, умінь і навичок здобувачів. Існуючі моделі оцінки рівня компетентності здобувачів представляють самостійну систему, засновану на автоматизації діагностики та контролю знань.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Методичні матеріали акумулюються з метою надання консультаційної та методичної допомоги педагогам щодо організації освітнього процесу, створення умов для їхньої самоосвіти. Доцільно окремо систематизувати </w:t>
      </w:r>
      <w:r w:rsidRPr="003E0DBE">
        <w:rPr>
          <w:rFonts w:ascii="Times New Roman" w:eastAsia="Times New Roman" w:hAnsi="Times New Roman" w:cs="Times New Roman"/>
          <w:color w:val="000000"/>
          <w:kern w:val="0"/>
          <w:sz w:val="28"/>
          <w:szCs w:val="28"/>
          <w:lang w:eastAsia="en-GB"/>
          <w14:ligatures w14:val="none"/>
        </w:rPr>
        <w:lastRenderedPageBreak/>
        <w:t>матеріали із науково-дослідної діяльності педагогів та здобувачів, щоб створювати умови для творчого саморозвитку.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Основними інформаційними ресурсами із позанавчальної діяльності закладу можуть бути: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засоби інформування здобувачів освіти та педагогів про проведені або заплановані позанавчальні заходи;</w:t>
      </w:r>
      <w:r w:rsidRPr="003E0DBE">
        <w:rPr>
          <w:rFonts w:ascii="Times New Roman" w:eastAsia="Times New Roman" w:hAnsi="Times New Roman" w:cs="Times New Roman"/>
          <w:color w:val="000000"/>
          <w:kern w:val="0"/>
          <w:sz w:val="28"/>
          <w:szCs w:val="28"/>
          <w:lang w:eastAsia="en-GB"/>
          <w14:ligatures w14:val="none"/>
        </w:rPr>
        <w:br/>
        <w:t>− інформаційні засоби підтримки діяльності класних керівників,</w:t>
      </w:r>
      <w:r w:rsidRPr="003E0DBE">
        <w:rPr>
          <w:rFonts w:ascii="Times New Roman" w:eastAsia="Times New Roman" w:hAnsi="Times New Roman" w:cs="Times New Roman"/>
          <w:color w:val="000000"/>
          <w:kern w:val="0"/>
          <w:sz w:val="28"/>
          <w:szCs w:val="28"/>
          <w:lang w:eastAsia="en-GB"/>
          <w14:ligatures w14:val="none"/>
        </w:rPr>
        <w:br/>
        <w:t>кураторів, засоби інформаційного забезпечення позанавчального спілкування здобувачів освіти;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інформаційні засоби, необхідні для проведення культурно-масових та спортивних заходів;</w:t>
      </w:r>
      <w:r w:rsidRPr="003E0DBE">
        <w:rPr>
          <w:rFonts w:ascii="Times New Roman" w:eastAsia="Times New Roman" w:hAnsi="Times New Roman" w:cs="Times New Roman"/>
          <w:color w:val="000000"/>
          <w:kern w:val="0"/>
          <w:sz w:val="28"/>
          <w:szCs w:val="28"/>
          <w:lang w:eastAsia="en-GB"/>
          <w14:ligatures w14:val="none"/>
        </w:rPr>
        <w:br/>
        <w:t>− засоби управління позанавчальною діяльністю в закладі.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Таким чином, в умовах інформатизації суспільства надання якісних освітніх послуг неможливе без використання інформаційно-комунікаційних технологій. Створення інформаційно-освітнього середовища є необхідною умовою успішного функціонування кожного закладу освіти, щоб забезпечити:</w:t>
      </w:r>
      <w:r w:rsidRPr="003E0DBE">
        <w:rPr>
          <w:rFonts w:ascii="Times New Roman" w:eastAsia="Times New Roman" w:hAnsi="Times New Roman" w:cs="Times New Roman"/>
          <w:color w:val="000000"/>
          <w:kern w:val="0"/>
          <w:sz w:val="28"/>
          <w:szCs w:val="28"/>
          <w:lang w:eastAsia="en-GB"/>
          <w14:ligatures w14:val="none"/>
        </w:rPr>
        <w:br/>
        <w:t>• організацію мережевої взаємодії учасників освітнього процесу для</w:t>
      </w:r>
      <w:r w:rsidRPr="003E0DBE">
        <w:rPr>
          <w:rFonts w:ascii="Times New Roman" w:eastAsia="Times New Roman" w:hAnsi="Times New Roman" w:cs="Times New Roman"/>
          <w:color w:val="000000"/>
          <w:kern w:val="0"/>
          <w:sz w:val="28"/>
          <w:szCs w:val="28"/>
          <w:lang w:eastAsia="en-GB"/>
          <w14:ligatures w14:val="none"/>
        </w:rPr>
        <w:br/>
        <w:t>розвитку мобільності, удосконалення інформаційного обміну та поширення ефективних рішень;</w:t>
      </w:r>
      <w:r w:rsidRPr="003E0DBE">
        <w:rPr>
          <w:rFonts w:ascii="Times New Roman" w:eastAsia="Times New Roman" w:hAnsi="Times New Roman" w:cs="Times New Roman"/>
          <w:color w:val="000000"/>
          <w:kern w:val="0"/>
          <w:sz w:val="28"/>
          <w:szCs w:val="28"/>
          <w:lang w:eastAsia="en-GB"/>
          <w14:ligatures w14:val="none"/>
        </w:rPr>
        <w:br/>
        <w:t>• створення єдиної мережевої системи моніторингу та оцінки якості</w:t>
      </w:r>
      <w:r w:rsidRPr="003E0DBE">
        <w:rPr>
          <w:rFonts w:ascii="Times New Roman" w:eastAsia="Times New Roman" w:hAnsi="Times New Roman" w:cs="Times New Roman"/>
          <w:color w:val="000000"/>
          <w:kern w:val="0"/>
          <w:sz w:val="28"/>
          <w:szCs w:val="28"/>
          <w:lang w:eastAsia="en-GB"/>
          <w14:ligatures w14:val="none"/>
        </w:rPr>
        <w:br/>
        <w:t>освіти;</w:t>
      </w:r>
      <w:r w:rsidRPr="003E0DBE">
        <w:rPr>
          <w:rFonts w:ascii="Times New Roman" w:eastAsia="Times New Roman" w:hAnsi="Times New Roman" w:cs="Times New Roman"/>
          <w:color w:val="000000"/>
          <w:kern w:val="0"/>
          <w:sz w:val="28"/>
          <w:szCs w:val="28"/>
          <w:lang w:eastAsia="en-GB"/>
          <w14:ligatures w14:val="none"/>
        </w:rPr>
        <w:br/>
        <w:t>• забезпечення ефективності управління інформаційно-методичними ресурсами, сумісності стандартів обміну інформацією, документообігу, засад захисту інформації;</w:t>
      </w:r>
      <w:r w:rsidRPr="003E0DBE">
        <w:rPr>
          <w:rFonts w:ascii="Times New Roman" w:eastAsia="Times New Roman" w:hAnsi="Times New Roman" w:cs="Times New Roman"/>
          <w:color w:val="000000"/>
          <w:kern w:val="0"/>
          <w:sz w:val="28"/>
          <w:szCs w:val="28"/>
          <w:lang w:eastAsia="en-GB"/>
          <w14:ligatures w14:val="none"/>
        </w:rPr>
        <w:br/>
        <w:t>• інтеграцію всіх інформаційних потоків, які забезпечують керування закладом освіти.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У  процесі  проектування  об’єктів  інформаційно-освітнього середовища можливо та педагогічно доцільно застосовувати ще й такі засоби навчання: гейміфікація (gamіfіcatіon) освітнього, наукового та дослідницького процесу з використанням  методів,  характерних  для  комп’ютерних ігор, які застосовуються з урахуванням специфіки ігрового мислення в не ігровому просторі. Такий  підхід  дає  змогу  забезпечити  поетапне занурення суб’єктів у процес навчання, отримувати вимірюваний зворотний зв’язок, динамічно коригувати поведінку того, хто навчається;мультимедійні й інтерактивні технології для моделювання  та  прогнозування  виучуваних </w:t>
      </w:r>
      <w:r w:rsidRPr="003E0DBE">
        <w:rPr>
          <w:rFonts w:ascii="Times New Roman" w:eastAsia="Times New Roman" w:hAnsi="Times New Roman" w:cs="Times New Roman"/>
          <w:color w:val="000000"/>
          <w:kern w:val="0"/>
          <w:sz w:val="28"/>
          <w:szCs w:val="28"/>
          <w:lang w:eastAsia="en-GB"/>
          <w14:ligatures w14:val="none"/>
        </w:rPr>
        <w:lastRenderedPageBreak/>
        <w:t>процесів  і  явищ,  експериментів  (імітація  на комп’ютері реального досліду або мисленнєвого експерименту  (тренажери,  телеприсутність, віртуальні лабораторії, віртуальна реальність, доповнена реальність тощо); соціальні медіа для спільного формування й використання колективного знання (соціальні мережі, блоги, теги, вікі-проекти, соціальні мультимедіа, соціальні пошукові системи та сервіси закладок, соціальні геоінформаційні системи, багатокористувацькі мережеві ігри, віртуальні світи тощо).</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16E5"/>
          <w:kern w:val="0"/>
          <w:sz w:val="28"/>
          <w:szCs w:val="28"/>
          <w:lang w:eastAsia="en-GB"/>
          <w14:ligatures w14:val="none"/>
        </w:rPr>
        <w:t>Використання ШІ педагогічними працівниками для підготовки та проведення уроків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Сьогодні ШІ є ефективним помічником для вчителя, який можна використовувати для підготовки та проведення уроків, для аналізу даних про навчання учнів, адаптації навчального контенту, надання зворотного зв'язку тощо.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Поради щодо використання ШІ. </w:t>
      </w:r>
      <w:r w:rsidRPr="003E0DBE">
        <w:rPr>
          <w:rFonts w:ascii="Times New Roman" w:eastAsia="Times New Roman" w:hAnsi="Times New Roman" w:cs="Times New Roman"/>
          <w:color w:val="110202"/>
          <w:kern w:val="0"/>
          <w:sz w:val="28"/>
          <w:szCs w:val="28"/>
          <w:lang w:eastAsia="en-GB"/>
          <w14:ligatures w14:val="none"/>
        </w:rPr>
        <w:t>Не намагайтеся використовувати ШІ для всього одночасно. Почніть з одного або двох інструментів, які ви зрозуміли та в яких ви бачите допомогу у виконанні модельної програми та реалізації навчальних цілей. Поступово розширюйте набір інструментів та різноманітність завдань.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Існує безліч інструментів ШІ, доступних для педагогів. Виберіть інструменти, які відповідають вашим потребам і досвіду.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Підготовка до уроків. </w:t>
      </w:r>
      <w:r w:rsidRPr="003E0DBE">
        <w:rPr>
          <w:rFonts w:ascii="Times New Roman" w:eastAsia="Times New Roman" w:hAnsi="Times New Roman" w:cs="Times New Roman"/>
          <w:color w:val="110202"/>
          <w:kern w:val="0"/>
          <w:sz w:val="28"/>
          <w:szCs w:val="28"/>
          <w:lang w:eastAsia="en-GB"/>
          <w14:ligatures w14:val="none"/>
        </w:rPr>
        <w:t>Використання ШІ дозволяє автоматизувати багато процесів при підготовці до уроків. Наприклад, за наявною презентацією можна згенерувати запитання для тесту, або за поданим текстом твору згенерувати 20 варіантів карток із завданням для учнів тощо.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За допомогою великих мовних моделей, текстових чатботів, генеративних систем ШІ вчитель може генерувати календарні плани, конспекти уроків, карти знань, дидактичні матеріали, аудіоматеріали, інтерактивні презентації та контент для них, тексти завдань, математичні завдання (адаптовані до конкретних тем, разом із рішеннями), персоналізовані навчальні плани, що відповідають індивідуальним потребам кожного учня, рубрикатори для аналізу навчальних перешкод, труднощів, інтересів та потреб учнів тощо.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Інструменти ШІ можуть допомогти вчителю, який заміняє колегу, викладати в його стилі або навчати в стилі відомої людини (блогера, письменника, науковця тощо).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Дистанційне навчання. </w:t>
      </w:r>
      <w:r w:rsidRPr="003E0DBE">
        <w:rPr>
          <w:rFonts w:ascii="Times New Roman" w:eastAsia="Times New Roman" w:hAnsi="Times New Roman" w:cs="Times New Roman"/>
          <w:color w:val="110202"/>
          <w:kern w:val="0"/>
          <w:sz w:val="28"/>
          <w:szCs w:val="28"/>
          <w:lang w:eastAsia="en-GB"/>
          <w14:ligatures w14:val="none"/>
        </w:rPr>
        <w:t>Існують інструменти, які можуть генерувати навчальні відеоролики на основі запропонованого матеріалу. Системи ШІ можна використати як для підготовки матеріалів синхронних дистанційних уроків, так і для асинхронного навчання або, коли учень не може під'єднатися до онлайн-уроку (відсутність інтернету, обмеження на тимчасово окупованих територіях, хвороба тощо).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lastRenderedPageBreak/>
        <w:t>Якщо вчитель проводить онлайн-уроки за допомогою платформи Zoom, то новий інструмент Zoom AI Companion може підбити підсумки уроку, що дасть змогу вчителю зробити згодом аналіз; згенерувати ідеї на віртуальних дошках та створити чернетки чатів.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Персоналізоване навчання. </w:t>
      </w:r>
      <w:r w:rsidRPr="003E0DBE">
        <w:rPr>
          <w:rFonts w:ascii="Times New Roman" w:eastAsia="Times New Roman" w:hAnsi="Times New Roman" w:cs="Times New Roman"/>
          <w:color w:val="110202"/>
          <w:kern w:val="0"/>
          <w:sz w:val="28"/>
          <w:szCs w:val="28"/>
          <w:lang w:eastAsia="en-GB"/>
          <w14:ligatures w14:val="none"/>
        </w:rPr>
        <w:t>ШІ може аналізувати дані учнів (відповіді, поведінку, результати навчання тощо), щоб виявити прогалини в навичках і знаннях. Аналізуючи різні дані, системи ШІ можуть генерувати діагностичні оцінки, визначати теми, до сприйняття яких учні можуть відчувати труднощі.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Системи ШІ також можна використовувати для аналізу та оптимізації навчальних матеріалів. Наприклад, автоматичне створення персоналізованих навчальних матеріалів, які відповідають потребам та інтересам конкретних учнів.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Гейміфікація. </w:t>
      </w:r>
      <w:r w:rsidRPr="003E0DBE">
        <w:rPr>
          <w:rFonts w:ascii="Times New Roman" w:eastAsia="Times New Roman" w:hAnsi="Times New Roman" w:cs="Times New Roman"/>
          <w:color w:val="110202"/>
          <w:kern w:val="0"/>
          <w:sz w:val="28"/>
          <w:szCs w:val="28"/>
          <w:lang w:eastAsia="en-GB"/>
          <w14:ligatures w14:val="none"/>
        </w:rPr>
        <w:t>Якщо вчитель використовує гейміфікацію під час уроків, то системи ШІ можуть допомогти у створенні системи балів (поінтів), генерації місій та завдань для квестів, створенню лідербордів, також можна створювати аватарки та персоналізувати персонажі, генерувати бейджи та значки, бонуси та нагороди.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Робототехніка. </w:t>
      </w:r>
      <w:r w:rsidRPr="003E0DBE">
        <w:rPr>
          <w:rFonts w:ascii="Times New Roman" w:eastAsia="Times New Roman" w:hAnsi="Times New Roman" w:cs="Times New Roman"/>
          <w:color w:val="110202"/>
          <w:kern w:val="0"/>
          <w:sz w:val="28"/>
          <w:szCs w:val="28"/>
          <w:lang w:eastAsia="en-GB"/>
          <w14:ligatures w14:val="none"/>
        </w:rPr>
        <w:t>Можна згенерувати програмний код та разом з учнями перевірити його правильність, спробувати оптимізувати або надати свій варіант. Згенерувати зображення прототипів роботів та спробувати їх відтворити з тих ресурсів, що є вдома / в школі, потім згенерувати казку / історію про свого робота.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За допомогою різних інструментів (наприклад, Vittascience, Teachablemachine та інші) ШІ може визначати об'єкти, музику та рухи перед вебкамерою, а інструмент Microbitai Inventor City підключає до цього процесу мікропроцесор micro:bit.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110202"/>
          <w:kern w:val="0"/>
          <w:sz w:val="28"/>
          <w:szCs w:val="28"/>
          <w:lang w:eastAsia="en-GB"/>
          <w14:ligatures w14:val="none"/>
        </w:rPr>
        <w:t xml:space="preserve">Інклюзивне навчання. </w:t>
      </w:r>
      <w:r w:rsidRPr="003E0DBE">
        <w:rPr>
          <w:rFonts w:ascii="Times New Roman" w:eastAsia="Times New Roman" w:hAnsi="Times New Roman" w:cs="Times New Roman"/>
          <w:color w:val="110202"/>
          <w:kern w:val="0"/>
          <w:sz w:val="28"/>
          <w:szCs w:val="28"/>
          <w:lang w:eastAsia="en-GB"/>
          <w14:ligatures w14:val="none"/>
        </w:rPr>
        <w:t>Технології штучного інтелекту мають низку переваг в інклюзивному навчанні. ШІ може адаптувати навчальний контент, темп, стиль і рівень складності відповідно до індивідуальних особливостей кожного учня, враховуючи його потенціал, інтереси, здібності та потреби. Це дозволяє створити індивідуальні навчальні траєкторії, які сприяють розвитку учнів і підвищенню їхньої академічної успішності.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ШІ може допомогти учням з особливими потребами виконувати певні дії, які їм складно або неможливо робити без додаткової підтримки. Наприклад, ШІ може використовувати розпізнавання мови, синтез мовлення, переклад мови, аналіз тональності, відповідь на запитання тощо. Це дозволяє поліпшити комунікацію, доступність інформації, самостійність і самовираження учнів. </w:t>
      </w:r>
    </w:p>
    <w:p w:rsidR="003E0DBE" w:rsidRPr="003E0DBE" w:rsidRDefault="003E0DBE" w:rsidP="003E0DBE">
      <w:pPr>
        <w:shd w:val="clear" w:color="auto" w:fill="FFFFFF"/>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110202"/>
          <w:kern w:val="0"/>
          <w:sz w:val="28"/>
          <w:szCs w:val="28"/>
          <w:lang w:eastAsia="en-GB"/>
          <w14:ligatures w14:val="none"/>
        </w:rPr>
        <w:t xml:space="preserve">Різноманітність інструментів ШІ дає можливість створювати творчі завдання для учнів, які своєю допомагають сформувати основні компетентності. Так, </w:t>
      </w:r>
      <w:r w:rsidRPr="003E0DBE">
        <w:rPr>
          <w:rFonts w:ascii="Times New Roman" w:eastAsia="Times New Roman" w:hAnsi="Times New Roman" w:cs="Times New Roman"/>
          <w:color w:val="110202"/>
          <w:kern w:val="0"/>
          <w:sz w:val="28"/>
          <w:szCs w:val="28"/>
          <w:lang w:eastAsia="en-GB"/>
          <w14:ligatures w14:val="none"/>
        </w:rPr>
        <w:lastRenderedPageBreak/>
        <w:t>наприклад, написати промпт англійською мовою — «здатність спілкуватися іноземними мовами»; виконання завдань з використанням інструментів ШІ — «інноваційність» та «інформаційно-комунікаційна компетентність»; самостійно створити історію, використовуючи тексти / ідеї промптів українською мовою — «вільне володіння державною мовою» тощо.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232323"/>
          <w:kern w:val="0"/>
          <w:sz w:val="28"/>
          <w:szCs w:val="28"/>
          <w:lang w:eastAsia="en-GB"/>
          <w14:ligatures w14:val="none"/>
        </w:rPr>
        <w:t>творення індивідуальної стратегії розвитку інформаційно-цифрової компетентності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Для визначення індивідуальної стратегії розвитку інформаційно-цифрової компетентності рекомендується виконати наступні кроки: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1.    Визначити бажану кваліфікаційну категорію.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2.    Визначити необхідний рівень знань і навичок згідно з професійним стандартом вчителя,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що відповідає даній категорії, та особистими професійними інтересами.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3.    Проаналізувати власний поточний рівень інформаційно-цифрової компетентності.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4.    Зафіксувати знання, уміння та навички, які необхідно підвищити для здобуття бажаної кваліфікаційної категорії.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5.    Проаналізувати та пріоритезувати цілі підвищення інформаційно-цифрової компетентності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6.    Проаналізувати можливі форми та визначити необхідний обсяг підвищення кваліфікації, обрати суб’єкт надання освітніх послуг (за потреби) та спланувати часові рамки підвищення кваліфікації.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7.    Надати інформацію щодо запланованого підвищення кваліфікації керівництву навчального закладу.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0000"/>
          <w:kern w:val="0"/>
          <w:sz w:val="28"/>
          <w:szCs w:val="28"/>
          <w:lang w:eastAsia="en-GB"/>
          <w14:ligatures w14:val="none"/>
        </w:rPr>
        <w:t>Мета (бажана кваліфікаційна категорія)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i/>
          <w:iCs/>
          <w:color w:val="000000"/>
          <w:kern w:val="0"/>
          <w:sz w:val="28"/>
          <w:szCs w:val="28"/>
          <w:lang w:eastAsia="en-GB"/>
          <w14:ligatures w14:val="none"/>
        </w:rPr>
        <w:t>Спеціаліст, спеціаліст 2 категорії, спеціаліст 1 категорії чи спеціаліст вищої категорії (відповідно до профстандарту)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0000"/>
          <w:kern w:val="0"/>
          <w:sz w:val="28"/>
          <w:szCs w:val="28"/>
          <w:lang w:eastAsia="en-GB"/>
          <w14:ligatures w14:val="none"/>
        </w:rPr>
        <w:t>Необхідний рівень знань відповідно до профстандарту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i/>
          <w:iCs/>
          <w:color w:val="000000"/>
          <w:kern w:val="0"/>
          <w:sz w:val="28"/>
          <w:szCs w:val="28"/>
          <w:lang w:eastAsia="en-GB"/>
          <w14:ligatures w14:val="none"/>
        </w:rPr>
        <w:lastRenderedPageBreak/>
        <w:t>Заповнюється для відповідної категорії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0000"/>
          <w:kern w:val="0"/>
          <w:sz w:val="28"/>
          <w:szCs w:val="28"/>
          <w:lang w:eastAsia="en-GB"/>
          <w14:ligatures w14:val="none"/>
        </w:rPr>
        <w:t>Навички і знання з даної категорії, які необхідно підвищити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i/>
          <w:iCs/>
          <w:color w:val="000000"/>
          <w:kern w:val="0"/>
          <w:sz w:val="28"/>
          <w:szCs w:val="28"/>
          <w:lang w:eastAsia="en-GB"/>
          <w14:ligatures w14:val="none"/>
        </w:rPr>
        <w:t xml:space="preserve">Визначаються за допомогою самооцінювання з використанням інструментів </w:t>
      </w:r>
      <w:r w:rsidRPr="003E0DBE">
        <w:rPr>
          <w:rFonts w:ascii="Times New Roman" w:eastAsia="Times New Roman" w:hAnsi="Times New Roman" w:cs="Times New Roman"/>
          <w:b/>
          <w:bCs/>
          <w:i/>
          <w:iCs/>
          <w:color w:val="000000"/>
          <w:kern w:val="0"/>
          <w:sz w:val="28"/>
          <w:szCs w:val="28"/>
          <w:lang w:eastAsia="en-GB"/>
          <w14:ligatures w14:val="none"/>
        </w:rPr>
        <w:t xml:space="preserve">«Цифрограм для вчителів» </w:t>
      </w:r>
      <w:r w:rsidRPr="003E0DBE">
        <w:rPr>
          <w:rFonts w:ascii="Times New Roman" w:eastAsia="Times New Roman" w:hAnsi="Times New Roman" w:cs="Times New Roman"/>
          <w:i/>
          <w:iCs/>
          <w:color w:val="000000"/>
          <w:kern w:val="0"/>
          <w:sz w:val="28"/>
          <w:szCs w:val="28"/>
          <w:lang w:eastAsia="en-GB"/>
          <w14:ligatures w14:val="none"/>
        </w:rPr>
        <w:t>або «</w:t>
      </w:r>
      <w:r w:rsidRPr="003E0DBE">
        <w:rPr>
          <w:rFonts w:ascii="Times New Roman" w:eastAsia="Times New Roman" w:hAnsi="Times New Roman" w:cs="Times New Roman"/>
          <w:b/>
          <w:bCs/>
          <w:i/>
          <w:iCs/>
          <w:color w:val="000000"/>
          <w:kern w:val="0"/>
          <w:sz w:val="28"/>
          <w:szCs w:val="28"/>
          <w:lang w:eastAsia="en-GB"/>
          <w14:ligatures w14:val="none"/>
        </w:rPr>
        <w:t xml:space="preserve">«SELFIE для вчителів»», </w:t>
      </w:r>
      <w:r w:rsidRPr="003E0DBE">
        <w:rPr>
          <w:rFonts w:ascii="Times New Roman" w:eastAsia="Times New Roman" w:hAnsi="Times New Roman" w:cs="Times New Roman"/>
          <w:i/>
          <w:iCs/>
          <w:color w:val="000000"/>
          <w:kern w:val="0"/>
          <w:sz w:val="28"/>
          <w:szCs w:val="28"/>
          <w:lang w:eastAsia="en-GB"/>
          <w14:ligatures w14:val="none"/>
        </w:rPr>
        <w:t>консультативної допомоги колег з професійної спільноти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0000"/>
          <w:kern w:val="0"/>
          <w:sz w:val="28"/>
          <w:szCs w:val="28"/>
          <w:lang w:eastAsia="en-GB"/>
          <w14:ligatures w14:val="none"/>
        </w:rPr>
        <w:t>Варіанти підвищення кваліфікації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i/>
          <w:iCs/>
          <w:color w:val="000000"/>
          <w:kern w:val="0"/>
          <w:sz w:val="28"/>
          <w:szCs w:val="28"/>
          <w:lang w:eastAsia="en-GB"/>
          <w14:ligatures w14:val="none"/>
        </w:rPr>
        <w:t xml:space="preserve">Один або декілька з можливих видів підвищення кваліфікації (згідно з </w:t>
      </w:r>
      <w:r w:rsidRPr="003E0DBE">
        <w:rPr>
          <w:rFonts w:ascii="Times New Roman" w:eastAsia="Times New Roman" w:hAnsi="Times New Roman" w:cs="Times New Roman"/>
          <w:i/>
          <w:iCs/>
          <w:color w:val="0F54CC"/>
          <w:kern w:val="0"/>
          <w:sz w:val="28"/>
          <w:szCs w:val="28"/>
          <w:lang w:eastAsia="en-GB"/>
          <w14:ligatures w14:val="none"/>
        </w:rPr>
        <w:t>Постановою Кабінету Міністрів України No 800</w:t>
      </w:r>
      <w:r w:rsidRPr="003E0DBE">
        <w:rPr>
          <w:rFonts w:ascii="Times New Roman" w:eastAsia="Times New Roman" w:hAnsi="Times New Roman" w:cs="Times New Roman"/>
          <w:i/>
          <w:iCs/>
          <w:color w:val="000000"/>
          <w:kern w:val="0"/>
          <w:sz w:val="28"/>
          <w:szCs w:val="28"/>
          <w:lang w:eastAsia="en-GB"/>
          <w14:ligatures w14:val="none"/>
        </w:rPr>
        <w:t>): навчання за програмою підвищення кваліфікації, у тому числі участь у семінарах, практикумах, тренінгах, вебінарах, майстер-класах тощо; стажування. Обрана форма та суб’єкт надання освітніх послуг, обсяг (кількість кредитів ЄКТС) </w:t>
      </w:r>
    </w:p>
    <w:p w:rsidR="003E0DBE" w:rsidRPr="003E0DBE" w:rsidRDefault="003E0DBE" w:rsidP="003E0DBE">
      <w:pPr>
        <w:spacing w:before="240" w:after="240"/>
        <w:ind w:left="72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b/>
          <w:bCs/>
          <w:color w:val="000000"/>
          <w:kern w:val="0"/>
          <w:sz w:val="28"/>
          <w:szCs w:val="28"/>
          <w:lang w:eastAsia="en-GB"/>
          <w14:ligatures w14:val="none"/>
        </w:rPr>
        <w:t xml:space="preserve">Тривалість </w:t>
      </w:r>
      <w:r w:rsidRPr="003E0DBE">
        <w:rPr>
          <w:rFonts w:ascii="Times New Roman" w:eastAsia="Times New Roman" w:hAnsi="Times New Roman" w:cs="Times New Roman"/>
          <w:color w:val="000000"/>
          <w:kern w:val="0"/>
          <w:sz w:val="28"/>
          <w:szCs w:val="28"/>
          <w:lang w:eastAsia="en-GB"/>
          <w14:ligatures w14:val="none"/>
        </w:rPr>
        <w:t> </w:t>
      </w:r>
      <w:r w:rsidRPr="003E0DBE">
        <w:rPr>
          <w:rFonts w:ascii="Times New Roman" w:eastAsia="Times New Roman" w:hAnsi="Times New Roman" w:cs="Times New Roman"/>
          <w:i/>
          <w:iCs/>
          <w:color w:val="000000"/>
          <w:kern w:val="0"/>
          <w:sz w:val="28"/>
          <w:szCs w:val="28"/>
          <w:lang w:eastAsia="en-GB"/>
          <w14:ligatures w14:val="none"/>
        </w:rPr>
        <w:t>Орієнтовні часові рамки початку та закінчення навчання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Розглянемо порядок визначення індивідуальної стратегії розвитку інформаційно-цифрової компетентності детальніше.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1.    </w:t>
      </w:r>
      <w:r w:rsidRPr="003E0DBE">
        <w:rPr>
          <w:rFonts w:ascii="Times New Roman" w:eastAsia="Times New Roman" w:hAnsi="Times New Roman" w:cs="Times New Roman"/>
          <w:i/>
          <w:iCs/>
          <w:color w:val="000000"/>
          <w:kern w:val="0"/>
          <w:sz w:val="28"/>
          <w:szCs w:val="28"/>
          <w:lang w:eastAsia="en-GB"/>
          <w14:ligatures w14:val="none"/>
        </w:rPr>
        <w:t>Визначення бажаної кваліфікаційної категорії</w:t>
      </w:r>
      <w:r w:rsidRPr="003E0DBE">
        <w:rPr>
          <w:rFonts w:ascii="Times New Roman" w:eastAsia="Times New Roman" w:hAnsi="Times New Roman" w:cs="Times New Roman"/>
          <w:color w:val="000000"/>
          <w:kern w:val="0"/>
          <w:sz w:val="28"/>
          <w:szCs w:val="28"/>
          <w:lang w:eastAsia="en-GB"/>
          <w14:ligatures w14:val="none"/>
        </w:rPr>
        <w:t>: в процесі визначення рекомендується звертати увагу на власний поточний рівень інформаційно-цифрової компетентності, актуальні на поточний момент посадові обов’язки та/або перспективи їхнього розширення і навички, яких вони потребують, особисті професійні інтереси; також часові можливості і обмеження.</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2.    </w:t>
      </w:r>
      <w:r w:rsidRPr="003E0DBE">
        <w:rPr>
          <w:rFonts w:ascii="Times New Roman" w:eastAsia="Times New Roman" w:hAnsi="Times New Roman" w:cs="Times New Roman"/>
          <w:i/>
          <w:iCs/>
          <w:color w:val="000000"/>
          <w:kern w:val="0"/>
          <w:sz w:val="28"/>
          <w:szCs w:val="28"/>
          <w:lang w:eastAsia="en-GB"/>
          <w14:ligatures w14:val="none"/>
        </w:rPr>
        <w:t>Визначення необхідного рівня знань і навичок згідно з професійним стандартом вчителя, що відповідає даній категорії</w:t>
      </w:r>
      <w:r w:rsidRPr="003E0DBE">
        <w:rPr>
          <w:rFonts w:ascii="Times New Roman" w:eastAsia="Times New Roman" w:hAnsi="Times New Roman" w:cs="Times New Roman"/>
          <w:color w:val="000000"/>
          <w:kern w:val="0"/>
          <w:sz w:val="28"/>
          <w:szCs w:val="28"/>
          <w:lang w:eastAsia="en-GB"/>
          <w14:ligatures w14:val="none"/>
        </w:rPr>
        <w:t>: доцільно узгодити з переліком складових інформаційно-цифрової компетентності відповідно до кваліфікаційної категорії, наведеним у Таблиці 2. </w:t>
      </w:r>
    </w:p>
    <w:p w:rsidR="003E0DBE" w:rsidRPr="003E0DBE" w:rsidRDefault="003E0DBE" w:rsidP="003E0DBE">
      <w:pPr>
        <w:spacing w:before="240" w:after="24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i/>
          <w:iCs/>
          <w:color w:val="000000"/>
          <w:kern w:val="0"/>
          <w:sz w:val="28"/>
          <w:szCs w:val="28"/>
          <w:lang w:eastAsia="en-GB"/>
          <w14:ligatures w14:val="none"/>
        </w:rPr>
        <w:t xml:space="preserve">Аналіз власного поточного рівня </w:t>
      </w:r>
      <w:r w:rsidRPr="003E0DBE">
        <w:rPr>
          <w:rFonts w:ascii="Times New Roman" w:eastAsia="Times New Roman" w:hAnsi="Times New Roman" w:cs="Times New Roman"/>
          <w:color w:val="000000"/>
          <w:kern w:val="0"/>
          <w:sz w:val="28"/>
          <w:szCs w:val="28"/>
          <w:lang w:eastAsia="en-GB"/>
          <w14:ligatures w14:val="none"/>
        </w:rPr>
        <w:t>інформаційно-</w:t>
      </w:r>
      <w:r w:rsidRPr="003E0DBE">
        <w:rPr>
          <w:rFonts w:ascii="Times New Roman" w:eastAsia="Times New Roman" w:hAnsi="Times New Roman" w:cs="Times New Roman"/>
          <w:i/>
          <w:iCs/>
          <w:color w:val="000000"/>
          <w:kern w:val="0"/>
          <w:sz w:val="28"/>
          <w:szCs w:val="28"/>
          <w:lang w:eastAsia="en-GB"/>
          <w14:ligatures w14:val="none"/>
        </w:rPr>
        <w:t>цифрової компетентності</w:t>
      </w:r>
      <w:r w:rsidRPr="003E0DBE">
        <w:rPr>
          <w:rFonts w:ascii="Times New Roman" w:eastAsia="Times New Roman" w:hAnsi="Times New Roman" w:cs="Times New Roman"/>
          <w:color w:val="000000"/>
          <w:kern w:val="0"/>
          <w:sz w:val="28"/>
          <w:szCs w:val="28"/>
          <w:lang w:eastAsia="en-GB"/>
          <w14:ligatures w14:val="none"/>
        </w:rPr>
        <w:t xml:space="preserve">: рекомендується користуватись інструментами для самооцінювання вчителів «Цифрограм для вчителів» (національний тест на платформі «Дія.Цифрова освіта», за допомогою якого вчитель може з’ясувати рівень власної цифрової грамотності) та/або ««SELFIE для вчителів»», розроблений Європейською комісією (інструмент, що допомагає вчителям початкових і середніх класів зрозуміти, як вони використовують цифрові технології у своїй професійній </w:t>
      </w:r>
      <w:r w:rsidRPr="003E0DBE">
        <w:rPr>
          <w:rFonts w:ascii="Times New Roman" w:eastAsia="Times New Roman" w:hAnsi="Times New Roman" w:cs="Times New Roman"/>
          <w:color w:val="000000"/>
          <w:kern w:val="0"/>
          <w:sz w:val="28"/>
          <w:szCs w:val="28"/>
          <w:lang w:eastAsia="en-GB"/>
          <w14:ligatures w14:val="none"/>
        </w:rPr>
        <w:lastRenderedPageBreak/>
        <w:t>практиці). Педпрацівник отримує звіт/сертифікат про рівень своєї кваліфікації по кожній із складових цифрової грамотності та відповідні рекомендації.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4.    </w:t>
      </w:r>
      <w:r w:rsidRPr="003E0DBE">
        <w:rPr>
          <w:rFonts w:ascii="Times New Roman" w:eastAsia="Times New Roman" w:hAnsi="Times New Roman" w:cs="Times New Roman"/>
          <w:i/>
          <w:iCs/>
          <w:color w:val="000000"/>
          <w:kern w:val="0"/>
          <w:sz w:val="28"/>
          <w:szCs w:val="28"/>
          <w:lang w:eastAsia="en-GB"/>
          <w14:ligatures w14:val="none"/>
        </w:rPr>
        <w:t>Фіксація знань, умінь та навичок, які необхідно підвищити</w:t>
      </w:r>
      <w:r w:rsidRPr="003E0DBE">
        <w:rPr>
          <w:rFonts w:ascii="Times New Roman" w:eastAsia="Times New Roman" w:hAnsi="Times New Roman" w:cs="Times New Roman"/>
          <w:color w:val="000000"/>
          <w:kern w:val="0"/>
          <w:sz w:val="28"/>
          <w:szCs w:val="28"/>
          <w:lang w:eastAsia="en-GB"/>
          <w14:ligatures w14:val="none"/>
        </w:rPr>
        <w:t>: за результатами самооцінювання рекомендовано визначити одну/декілька ключових навичок, умінь та областей знань, рівень яких необхідно покращити. Згідно з цим переліком слід виконувати наступний крок.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5.    </w:t>
      </w:r>
      <w:r w:rsidRPr="003E0DBE">
        <w:rPr>
          <w:rFonts w:ascii="Times New Roman" w:eastAsia="Times New Roman" w:hAnsi="Times New Roman" w:cs="Times New Roman"/>
          <w:i/>
          <w:iCs/>
          <w:color w:val="000000"/>
          <w:kern w:val="0"/>
          <w:sz w:val="28"/>
          <w:szCs w:val="28"/>
          <w:lang w:eastAsia="en-GB"/>
          <w14:ligatures w14:val="none"/>
        </w:rPr>
        <w:t>Аналіз та пріоритезація цілей</w:t>
      </w:r>
      <w:r w:rsidRPr="003E0DBE">
        <w:rPr>
          <w:rFonts w:ascii="Times New Roman" w:eastAsia="Times New Roman" w:hAnsi="Times New Roman" w:cs="Times New Roman"/>
          <w:color w:val="000000"/>
          <w:kern w:val="0"/>
          <w:sz w:val="28"/>
          <w:szCs w:val="28"/>
          <w:lang w:eastAsia="en-GB"/>
          <w14:ligatures w14:val="none"/>
        </w:rPr>
        <w:t>: рекомендовано заповнити форму самооцінювання педагогічного працівника для визначення стратегії розвитку інформаційно-цифрової компетентності (зразок форми — у Врізці 1), або в іншому зручному форматі.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6.    </w:t>
      </w:r>
      <w:r w:rsidRPr="003E0DBE">
        <w:rPr>
          <w:rFonts w:ascii="Times New Roman" w:eastAsia="Times New Roman" w:hAnsi="Times New Roman" w:cs="Times New Roman"/>
          <w:i/>
          <w:iCs/>
          <w:color w:val="000000"/>
          <w:kern w:val="0"/>
          <w:sz w:val="28"/>
          <w:szCs w:val="28"/>
          <w:lang w:eastAsia="en-GB"/>
          <w14:ligatures w14:val="none"/>
        </w:rPr>
        <w:t>Аналіз можливих форм та визначення необхідного обсягу підвищення кваліфікації, вибір суб’єкту надання освітніх послуг (за потреби) та планування тривалості підвищення кваліфікації</w:t>
      </w:r>
      <w:r w:rsidRPr="003E0DBE">
        <w:rPr>
          <w:rFonts w:ascii="Times New Roman" w:eastAsia="Times New Roman" w:hAnsi="Times New Roman" w:cs="Times New Roman"/>
          <w:color w:val="000000"/>
          <w:kern w:val="0"/>
          <w:sz w:val="28"/>
          <w:szCs w:val="28"/>
          <w:lang w:eastAsia="en-GB"/>
          <w14:ligatures w14:val="none"/>
        </w:rPr>
        <w:t>: педагогічному працівнику, відповідно до визначених ним потреб, можна самостійно обрати суб’єкт надання освітніх послуг і безпосередньо звернутись до нього, або звернутись за консультацією до центру професійного розвитку своєї територіальної громади чи скористатись функціоналом платформи EdWay — національної платформи можливостей професійного розвитку педагогічних працівників. Результатом цього етапу є обрана форма та суб’єкт надання освітніх послуг, обсяг (кількість кредитів ЄКТС). </w:t>
      </w:r>
    </w:p>
    <w:p w:rsidR="003E0DBE" w:rsidRPr="003E0DBE" w:rsidRDefault="003E0DBE" w:rsidP="003E0DBE">
      <w:pPr>
        <w:spacing w:before="240" w:after="240"/>
        <w:ind w:left="720" w:hanging="360"/>
        <w:rPr>
          <w:rFonts w:ascii="Times New Roman" w:eastAsia="Times New Roman" w:hAnsi="Times New Roman" w:cs="Times New Roman"/>
          <w:color w:val="000000"/>
          <w:kern w:val="0"/>
          <w:lang w:eastAsia="en-GB"/>
          <w14:ligatures w14:val="none"/>
        </w:rPr>
      </w:pPr>
      <w:r w:rsidRPr="003E0DBE">
        <w:rPr>
          <w:rFonts w:ascii="Times New Roman" w:eastAsia="Times New Roman" w:hAnsi="Times New Roman" w:cs="Times New Roman"/>
          <w:color w:val="000000"/>
          <w:kern w:val="0"/>
          <w:sz w:val="28"/>
          <w:szCs w:val="28"/>
          <w:lang w:eastAsia="en-GB"/>
          <w14:ligatures w14:val="none"/>
        </w:rPr>
        <w:t xml:space="preserve">7.    </w:t>
      </w:r>
      <w:r w:rsidRPr="003E0DBE">
        <w:rPr>
          <w:rFonts w:ascii="Times New Roman" w:eastAsia="Times New Roman" w:hAnsi="Times New Roman" w:cs="Times New Roman"/>
          <w:i/>
          <w:iCs/>
          <w:color w:val="000000"/>
          <w:kern w:val="0"/>
          <w:sz w:val="28"/>
          <w:szCs w:val="28"/>
          <w:lang w:eastAsia="en-GB"/>
          <w14:ligatures w14:val="none"/>
        </w:rPr>
        <w:t>Надання інформації керівництву навчального закладу</w:t>
      </w:r>
      <w:r w:rsidRPr="003E0DBE">
        <w:rPr>
          <w:rFonts w:ascii="Times New Roman" w:eastAsia="Times New Roman" w:hAnsi="Times New Roman" w:cs="Times New Roman"/>
          <w:color w:val="000000"/>
          <w:kern w:val="0"/>
          <w:sz w:val="28"/>
          <w:szCs w:val="28"/>
          <w:lang w:eastAsia="en-GB"/>
          <w14:ligatures w14:val="none"/>
        </w:rPr>
        <w:t>: педагогічний працівник має надати керівництву навчального закладу інформацію про тему (напрям, найменування) відповідної програми (курсу, лекції, модуля тощо), форми, обсяг (тривалість), суб’єкта (суб’єктів) підвищення кваліфікації (із зазначенням інформації, визначеної Постановою Кабінету Міністрів України від 21 серпня 2019 р. No 800), вартість підвищення кваліфікації (у разі встановлення) або про безоплатний характер надання такої освітньої послуги. </w:t>
      </w:r>
    </w:p>
    <w:p w:rsidR="003E0DBE" w:rsidRPr="003E0DBE" w:rsidRDefault="003E0DBE" w:rsidP="003E0DBE">
      <w:pPr>
        <w:spacing w:after="240"/>
        <w:rPr>
          <w:rFonts w:ascii="Times New Roman" w:eastAsia="Times New Roman" w:hAnsi="Times New Roman" w:cs="Times New Roman"/>
          <w:kern w:val="0"/>
          <w:lang w:eastAsia="en-GB"/>
          <w14:ligatures w14:val="none"/>
        </w:rPr>
      </w:pPr>
    </w:p>
    <w:p w:rsidR="003E0DBE" w:rsidRPr="003E0DBE" w:rsidRDefault="003E0DBE" w:rsidP="003E0DBE">
      <w:pPr>
        <w:rPr>
          <w:rFonts w:ascii="Times New Roman" w:eastAsia="Times New Roman" w:hAnsi="Times New Roman" w:cs="Times New Roman"/>
          <w:kern w:val="0"/>
          <w:lang w:eastAsia="en-GB"/>
          <w14:ligatures w14:val="none"/>
        </w:rPr>
      </w:pPr>
    </w:p>
    <w:p w:rsidR="003E0DBE" w:rsidRDefault="003E0DBE"/>
    <w:sectPr w:rsidR="003E0DBE" w:rsidSect="003E0D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BE"/>
    <w:rsid w:val="003E0DBE"/>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F0F6207-05FB-D345-83B4-3270B3C6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B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2227</Words>
  <Characters>12697</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Tsivonchuk</dc:creator>
  <cp:keywords/>
  <dc:description/>
  <cp:lastModifiedBy>Ivanna Tsivonchuk</cp:lastModifiedBy>
  <cp:revision>1</cp:revision>
  <dcterms:created xsi:type="dcterms:W3CDTF">2024-10-26T02:49:00Z</dcterms:created>
  <dcterms:modified xsi:type="dcterms:W3CDTF">2024-10-26T02:49:00Z</dcterms:modified>
</cp:coreProperties>
</file>