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9" w:rsidRDefault="005A2AAF">
      <w:r>
        <w:fldChar w:fldCharType="begin"/>
      </w:r>
      <w:r>
        <w:instrText xml:space="preserve"> HYPERLINK "https://calendar.google.com/calendar/b/1/r/month/2019/11/1?tab=wc" </w:instrText>
      </w:r>
      <w:r>
        <w:fldChar w:fldCharType="separate"/>
      </w:r>
      <w:r w:rsidR="007A7F3D" w:rsidRPr="007A7F3D">
        <w:rPr>
          <w:rStyle w:val="a3"/>
        </w:rPr>
        <w:t>https://calendar.google.com/calendar/b/1/r/month/2019/11/1?tab=wc</w:t>
      </w:r>
      <w:r>
        <w:rPr>
          <w:rStyle w:val="a3"/>
        </w:rPr>
        <w:fldChar w:fldCharType="end"/>
      </w:r>
    </w:p>
    <w:p w:rsidR="00346789" w:rsidRDefault="00346789" w:rsidP="00346789">
      <w:bookmarkStart w:id="0" w:name="_GoBack"/>
      <w:r>
        <w:rPr>
          <w:noProof/>
          <w:lang w:eastAsia="ru-RU"/>
        </w:rPr>
        <w:drawing>
          <wp:inline distT="0" distB="0" distL="0" distR="0" wp14:anchorId="1AD7C970" wp14:editId="63579A90">
            <wp:extent cx="5844202" cy="1598212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44762" r="1617" b="15000"/>
                    <a:stretch/>
                  </pic:blipFill>
                  <pic:spPr bwMode="auto">
                    <a:xfrm>
                      <a:off x="0" y="0"/>
                      <a:ext cx="5844319" cy="159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6789" w:rsidRDefault="00346789" w:rsidP="00346789"/>
    <w:p w:rsidR="00437793" w:rsidRPr="00541AF3" w:rsidRDefault="00CC5F52" w:rsidP="0034678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1AF3">
        <w:rPr>
          <w:rFonts w:ascii="Times New Roman" w:hAnsi="Times New Roman" w:cs="Times New Roman"/>
          <w:sz w:val="28"/>
          <w:szCs w:val="28"/>
        </w:rPr>
        <w:t>Спец</w:t>
      </w:r>
      <w:proofErr w:type="spellStart"/>
      <w:r w:rsidRPr="00541AF3">
        <w:rPr>
          <w:rFonts w:ascii="Times New Roman" w:hAnsi="Times New Roman" w:cs="Times New Roman"/>
          <w:sz w:val="28"/>
          <w:szCs w:val="28"/>
          <w:lang w:val="uk-UA"/>
        </w:rPr>
        <w:t>іалізований</w:t>
      </w:r>
      <w:proofErr w:type="spellEnd"/>
      <w:r w:rsidRPr="00541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3">
        <w:rPr>
          <w:rFonts w:ascii="Times New Roman" w:hAnsi="Times New Roman" w:cs="Times New Roman"/>
          <w:sz w:val="28"/>
          <w:szCs w:val="28"/>
        </w:rPr>
        <w:t>навчальн</w:t>
      </w:r>
      <w:proofErr w:type="spellEnd"/>
      <w:r w:rsidRPr="00541AF3"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Start"/>
      <w:r w:rsidRPr="00541AF3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541AF3">
        <w:rPr>
          <w:rFonts w:ascii="Times New Roman" w:hAnsi="Times New Roman" w:cs="Times New Roman"/>
          <w:sz w:val="28"/>
          <w:szCs w:val="28"/>
        </w:rPr>
        <w:t xml:space="preserve"> </w:t>
      </w:r>
      <w:r w:rsidRPr="00541AF3">
        <w:rPr>
          <w:rFonts w:ascii="Times New Roman" w:hAnsi="Times New Roman" w:cs="Times New Roman"/>
          <w:sz w:val="28"/>
          <w:szCs w:val="28"/>
          <w:lang w:val="uk-UA"/>
        </w:rPr>
        <w:t xml:space="preserve">комплекс «Вікторія» з поглибленим вивченням </w:t>
      </w:r>
      <w:proofErr w:type="gramStart"/>
      <w:r w:rsidRPr="00541AF3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 w:rsidRPr="00541AF3">
        <w:rPr>
          <w:rFonts w:ascii="Times New Roman" w:hAnsi="Times New Roman" w:cs="Times New Roman"/>
          <w:sz w:val="28"/>
          <w:szCs w:val="28"/>
          <w:lang w:val="uk-UA"/>
        </w:rPr>
        <w:t>ійської мови.</w:t>
      </w:r>
    </w:p>
    <w:p w:rsidR="00CC5F52" w:rsidRPr="00541AF3" w:rsidRDefault="00CC5F52" w:rsidP="0034678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41AF3">
        <w:rPr>
          <w:rFonts w:ascii="Times New Roman" w:hAnsi="Times New Roman" w:cs="Times New Roman"/>
          <w:sz w:val="28"/>
          <w:szCs w:val="28"/>
          <w:lang w:val="uk-UA"/>
        </w:rPr>
        <w:t>Адреса:  Україна, м. Київ, Деснянський район, вул. Закревського 85 в.</w:t>
      </w:r>
    </w:p>
    <w:p w:rsidR="00081C21" w:rsidRPr="00541AF3" w:rsidRDefault="00541AF3" w:rsidP="00081C21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1AF3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54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AF3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541AF3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081C21" w:rsidRPr="00541AF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http://snvk-viktoriya.hol.es/</w:t>
        </w:r>
      </w:hyperlink>
    </w:p>
    <w:p w:rsidR="00081C21" w:rsidRPr="00541AF3" w:rsidRDefault="00081C21" w:rsidP="0034678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3"/>
        <w:gridCol w:w="93"/>
        <w:gridCol w:w="156"/>
        <w:gridCol w:w="45"/>
      </w:tblGrid>
      <w:tr w:rsidR="00CC5F52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2111" w:rsidRDefault="00EF2111" w:rsidP="00EF2111">
            <w:pPr>
              <w:pBdr>
                <w:bottom w:val="single" w:sz="6" w:space="0" w:color="AAAAAA"/>
              </w:pBdr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Апаратне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</w:p>
          <w:p w:rsidR="00EF2111" w:rsidRDefault="00EF2111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</w:pPr>
          </w:p>
          <w:p w:rsidR="00854E39" w:rsidRDefault="00434B41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У СНВК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«Вікторія»</w:t>
            </w:r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наявне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обладнання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:</w:t>
            </w:r>
          </w:p>
          <w:p w:rsidR="00434B41" w:rsidRPr="00434B41" w:rsidRDefault="00434B41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Комп’ютери</w:t>
            </w:r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– </w:t>
            </w:r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  <w:t>15</w:t>
            </w:r>
            <w:r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шт.</w:t>
            </w:r>
          </w:p>
          <w:p w:rsidR="00854E39" w:rsidRPr="00434B41" w:rsidRDefault="00434B41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Проектор –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4</w:t>
            </w:r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шт. </w:t>
            </w:r>
            <w:proofErr w:type="gram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проектор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використовується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на кожному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уроці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інформатики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це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дозволяє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шкільний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розклад</w:t>
            </w:r>
            <w:proofErr w:type="spellEnd"/>
            <w:r w:rsidR="00854E39" w:rsidRP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);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відповідно 4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смарт-дошки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.</w:t>
            </w:r>
          </w:p>
          <w:p w:rsidR="00854E39" w:rsidRDefault="00854E39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3-D – принтер;</w:t>
            </w:r>
          </w:p>
          <w:p w:rsidR="00854E39" w:rsidRDefault="00854E39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Колонки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Bluetooth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– 2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;</w:t>
            </w:r>
          </w:p>
          <w:p w:rsidR="00854E39" w:rsidRDefault="00854E39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Мережа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покриває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r w:rsidR="00434B41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не </w:t>
            </w:r>
            <w:r w:rsid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всю </w:t>
            </w:r>
            <w:proofErr w:type="spellStart"/>
            <w:r w:rsid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територію</w:t>
            </w:r>
            <w:proofErr w:type="spellEnd"/>
            <w:r w:rsidR="00434B4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r w:rsidR="00434B41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закладу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;</w:t>
            </w:r>
          </w:p>
          <w:p w:rsidR="00854E39" w:rsidRPr="00EF3090" w:rsidRDefault="00434B41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Принтери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сканери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ксерокси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8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шт.</w:t>
            </w:r>
          </w:p>
          <w:p w:rsidR="00EF3090" w:rsidRDefault="00EF3090" w:rsidP="00854E3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Телев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ізори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в 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кожному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класі.</w:t>
            </w:r>
          </w:p>
          <w:p w:rsidR="00854E39" w:rsidRDefault="00854E39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комп’ютерних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програм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електронних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засобів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навчального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призначення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значно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ідвищують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якість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проте вчителі вважають , що це відбувається частково ,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тому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при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використанні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ІКТ в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навчально-виховному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роцесі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в 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школі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наявні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такі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проблеми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:</w:t>
            </w:r>
          </w:p>
          <w:p w:rsidR="00854E39" w:rsidRDefault="00854E39" w:rsidP="00854E3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недостатня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ідготовка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педагогічних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кадрів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навчальному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процесі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засобів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сучасних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інформаційно-комунікаційних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технологій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;</w:t>
            </w:r>
          </w:p>
          <w:p w:rsidR="00854E39" w:rsidRDefault="00854E39" w:rsidP="00854E3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lastRenderedPageBreak/>
              <w:t>недостатнє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матеріально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–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техн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ічне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забезпечення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(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воно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вдосконалюється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але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даний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час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його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недостатньо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, тому що не всі класи забезпечені </w:t>
            </w:r>
            <w:proofErr w:type="spellStart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смарт-дошками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та проекторами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);</w:t>
            </w:r>
          </w:p>
          <w:p w:rsidR="00854E39" w:rsidRPr="00653FC6" w:rsidRDefault="00854E39" w:rsidP="00854E3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не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всі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вчителі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розуміють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важливість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впров</w:t>
            </w:r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адження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ІКТ </w:t>
            </w:r>
            <w:proofErr w:type="spellStart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технологій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освіту</w:t>
            </w:r>
            <w:proofErr w:type="spell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(переважно педагоги </w:t>
            </w:r>
            <w:proofErr w:type="gramStart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>старшого</w:t>
            </w:r>
            <w:proofErr w:type="gramEnd"/>
            <w:r w:rsidR="00EF3090"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віку)</w:t>
            </w:r>
          </w:p>
          <w:p w:rsidR="00854E39" w:rsidRDefault="00854E39" w:rsidP="00854E39">
            <w:pPr>
              <w:pBdr>
                <w:bottom w:val="single" w:sz="6" w:space="0" w:color="AAAAAA"/>
              </w:pBdr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Програмне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</w:p>
          <w:p w:rsidR="00854E39" w:rsidRDefault="00434B41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Школа</w:t>
            </w:r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використовує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таке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програмне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забезпечення</w:t>
            </w:r>
            <w:proofErr w:type="spellEnd"/>
            <w:r w:rsidR="00854E39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:</w:t>
            </w:r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Microsoft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Word</w:t>
            </w:r>
            <w:proofErr w:type="spellEnd"/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Microsoft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Excel</w:t>
            </w:r>
            <w:proofErr w:type="spellEnd"/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Microsoft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Paint</w:t>
            </w:r>
            <w:proofErr w:type="spellEnd"/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Google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Таблиці</w:t>
            </w:r>
            <w:proofErr w:type="spellEnd"/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Windows</w:t>
            </w:r>
            <w:proofErr w:type="spellEnd"/>
          </w:p>
          <w:p w:rsidR="00854E39" w:rsidRDefault="00854E39" w:rsidP="00854E3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Сходинки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інформатики</w:t>
            </w:r>
            <w:proofErr w:type="spellEnd"/>
          </w:p>
          <w:p w:rsidR="00854E39" w:rsidRDefault="00854E39" w:rsidP="00854E39">
            <w:pPr>
              <w:pBdr>
                <w:bottom w:val="single" w:sz="6" w:space="0" w:color="AAAAAA"/>
              </w:pBdr>
              <w:shd w:val="clear" w:color="auto" w:fill="FFFFFF"/>
              <w:spacing w:before="240" w:after="60" w:line="240" w:lineRule="auto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Інформаційне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забезпечення</w:t>
            </w:r>
            <w:proofErr w:type="spellEnd"/>
          </w:p>
          <w:p w:rsidR="00854E39" w:rsidRDefault="00854E39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Інформаційно-освітнє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середовище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школи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представлено сайтом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школи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який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реалізує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освітню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політику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школи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інформатики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починається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2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класу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 активно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продовжується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  <w:t>4</w:t>
            </w:r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класу</w:t>
            </w:r>
            <w:proofErr w:type="spellEnd"/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Вчителі</w:t>
            </w:r>
            <w:proofErr w:type="spellEnd"/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EF211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школи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використовують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своїх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уроках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пошуку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ізнавальних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відео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роликів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shd w:val="clear" w:color="auto" w:fill="FFFFFF"/>
              <w:spacing w:before="100" w:beforeAutospacing="1" w:after="24" w:line="360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val="uk-UA" w:eastAsia="ru-RU"/>
              </w:rPr>
              <w:t xml:space="preserve">   Отже,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школи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підручниками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зошитами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оновленою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програмою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доступом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комп'ютері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Тому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певній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мірі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забезпечена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ІКТ,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потребує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додаткового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інтерактивних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дошок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  <w:p w:rsidR="00F12C26" w:rsidRDefault="00F12C26" w:rsidP="00F12C26">
            <w:pPr>
              <w:pBdr>
                <w:bottom w:val="single" w:sz="6" w:space="0" w:color="AAAAAA"/>
              </w:pBdr>
              <w:spacing w:before="240" w:after="60" w:line="240" w:lineRule="auto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Гуг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календар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співробітників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керівників</w:t>
            </w:r>
            <w:proofErr w:type="spellEnd"/>
          </w:p>
          <w:p w:rsidR="00EF3090" w:rsidRPr="00FC5056" w:rsidRDefault="00EF3090" w:rsidP="00F12C26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</w:pPr>
          </w:p>
          <w:p w:rsidR="00854E39" w:rsidRPr="00FC5056" w:rsidRDefault="00854E39" w:rsidP="00854E39">
            <w:pPr>
              <w:pBdr>
                <w:bottom w:val="single" w:sz="6" w:space="0" w:color="AAAAAA"/>
              </w:pBdr>
              <w:shd w:val="clear" w:color="auto" w:fill="FFFFFF"/>
              <w:spacing w:after="60" w:line="240" w:lineRule="auto"/>
              <w:outlineLvl w:val="0"/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</w:pPr>
            <w:proofErr w:type="spellStart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Електронний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 xml:space="preserve">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навчальний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 xml:space="preserve"> курс для </w:t>
            </w:r>
            <w:proofErr w:type="spellStart"/>
            <w:proofErr w:type="gramStart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п</w:t>
            </w:r>
            <w:proofErr w:type="gram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ідвищенння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 xml:space="preserve"> ІК-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компетентності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 xml:space="preserve">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>співробітників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kern w:val="36"/>
                <w:sz w:val="43"/>
                <w:szCs w:val="43"/>
                <w:lang w:eastAsia="ru-RU"/>
              </w:rPr>
              <w:t xml:space="preserve"> установи</w:t>
            </w:r>
          </w:p>
          <w:p w:rsidR="00FC5056" w:rsidRPr="00FC5056" w:rsidRDefault="00854E39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val="uk-UA" w:eastAsia="ru-RU"/>
              </w:rPr>
            </w:pPr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Для </w:t>
            </w:r>
            <w:proofErr w:type="spellStart"/>
            <w:proofErr w:type="gram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</w:t>
            </w:r>
            <w:proofErr w:type="gram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ідвищення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ІКТ -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компетентності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вчителів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ми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розробили</w:t>
            </w:r>
            <w:proofErr w:type="spellEnd"/>
            <w:r w:rsidR="00FC5056"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трен</w:t>
            </w:r>
            <w:proofErr w:type="spellStart"/>
            <w:r w:rsidR="00FC5056"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val="uk-UA" w:eastAsia="ru-RU"/>
              </w:rPr>
              <w:t>інг</w:t>
            </w:r>
            <w:proofErr w:type="spellEnd"/>
            <w:r w:rsidR="00FC5056"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val="uk-UA" w:eastAsia="ru-RU"/>
              </w:rPr>
              <w:t xml:space="preserve"> </w:t>
            </w:r>
          </w:p>
          <w:p w:rsidR="00854E39" w:rsidRPr="00FC5056" w:rsidRDefault="00854E39" w:rsidP="00854E39">
            <w:pPr>
              <w:shd w:val="clear" w:color="auto" w:fill="FFFFFF"/>
              <w:spacing w:before="120" w:after="120" w:line="240" w:lineRule="auto"/>
              <w:rPr>
                <w:rStyle w:val="a3"/>
                <w:rFonts w:ascii="Arial" w:eastAsia="Times New Roman" w:hAnsi="Arial" w:cs="Arial"/>
                <w:color w:val="FF0000"/>
                <w:sz w:val="21"/>
                <w:szCs w:val="21"/>
                <w:u w:val="none"/>
                <w:lang w:val="en-US" w:eastAsia="ru-RU"/>
              </w:rPr>
            </w:pPr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Для перегляду </w:t>
            </w:r>
            <w:proofErr w:type="spellStart"/>
            <w:proofErr w:type="gram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пос</w:t>
            </w:r>
            <w:proofErr w:type="gram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ібника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перейдіть</w:t>
            </w:r>
            <w:proofErr w:type="spellEnd"/>
            <w:r w:rsidRPr="00FC5056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за посиланням </w:t>
            </w:r>
            <w:hyperlink r:id="rId9" w:history="1">
              <w:r w:rsidRPr="00FC5056">
                <w:rPr>
                  <w:rStyle w:val="a3"/>
                  <w:rFonts w:ascii="Arial" w:eastAsia="Times New Roman" w:hAnsi="Arial" w:cs="Arial"/>
                  <w:color w:val="FF0000"/>
                  <w:sz w:val="21"/>
                  <w:szCs w:val="21"/>
                  <w:u w:val="none"/>
                  <w:lang w:eastAsia="ru-RU"/>
                </w:rPr>
                <w:t>https://www.storyjumper.com/book/index/66425895/5c8eb15436890</w:t>
              </w:r>
            </w:hyperlink>
          </w:p>
          <w:p w:rsidR="00DE392B" w:rsidRDefault="00DE392B" w:rsidP="00DE392B">
            <w:pPr>
              <w:pBdr>
                <w:bottom w:val="single" w:sz="6" w:space="0" w:color="AAAAAA"/>
              </w:pBdr>
              <w:spacing w:before="240" w:after="60" w:line="240" w:lineRule="auto"/>
              <w:outlineLvl w:val="1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Семіна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тренінг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)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вчителів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використання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ІКТ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освіті</w:t>
            </w:r>
            <w:proofErr w:type="spellEnd"/>
          </w:p>
          <w:p w:rsidR="00DE392B" w:rsidRDefault="00DE392B" w:rsidP="00DE39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ІКТ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сучасному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просторі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виступає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засіб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майстерності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ефективного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діяльністю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ІКТ у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майбутній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викладача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володіти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ІКТ-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компетентністю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складовою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875DE6" w:rsidRPr="00913232" w:rsidRDefault="00875DE6" w:rsidP="00875D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Отже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</w:t>
            </w:r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умовах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професійна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кар'єра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будь-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залежить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наскільки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своєчасно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отримувати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нову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для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сучасний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повинен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розвивати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процесом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отриману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Активне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ІКТ в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освітній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перехід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proofErr w:type="gram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збільшуючи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дидактичні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цілому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сприяє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підвищенню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підготовки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фахівців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професійної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майстерності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</w:t>
            </w:r>
            <w:proofErr w:type="spellEnd"/>
            <w:r w:rsidRPr="0091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3090" w:rsidRDefault="00EF3090" w:rsidP="00854E39">
            <w:pPr>
              <w:shd w:val="clear" w:color="auto" w:fill="FFFFFF"/>
              <w:spacing w:before="120" w:after="120" w:line="240" w:lineRule="auto"/>
              <w:rPr>
                <w:rStyle w:val="a3"/>
                <w:rFonts w:ascii="Arial" w:eastAsia="Times New Roman" w:hAnsi="Arial" w:cs="Arial"/>
                <w:color w:val="663366"/>
                <w:sz w:val="21"/>
                <w:szCs w:val="21"/>
                <w:u w:val="none"/>
                <w:lang w:val="en-US" w:eastAsia="ru-RU"/>
              </w:rPr>
            </w:pPr>
          </w:p>
          <w:p w:rsidR="00DE392B" w:rsidRDefault="00DE392B" w:rsidP="00854E39">
            <w:pPr>
              <w:shd w:val="clear" w:color="auto" w:fill="FFFFFF"/>
              <w:spacing w:before="120" w:after="120" w:line="240" w:lineRule="auto"/>
              <w:rPr>
                <w:rStyle w:val="a3"/>
                <w:rFonts w:ascii="Arial" w:eastAsia="Times New Roman" w:hAnsi="Arial" w:cs="Arial"/>
                <w:color w:val="663366"/>
                <w:sz w:val="21"/>
                <w:szCs w:val="21"/>
                <w:u w:val="none"/>
                <w:lang w:val="en-US" w:eastAsia="ru-RU"/>
              </w:rPr>
            </w:pPr>
          </w:p>
          <w:p w:rsidR="00EF3090" w:rsidRPr="00EF3090" w:rsidRDefault="00EF3090" w:rsidP="00EF3090">
            <w:pPr>
              <w:pBdr>
                <w:bottom w:val="single" w:sz="6" w:space="0" w:color="AAAAAA"/>
              </w:pBdr>
              <w:shd w:val="clear" w:color="auto" w:fill="FFFFFF"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  <w:lang w:eastAsia="ru-RU"/>
              </w:rPr>
              <w:t>Методичні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  <w:lang w:eastAsia="ru-RU"/>
              </w:rPr>
              <w:t>рекомендації</w:t>
            </w:r>
            <w:proofErr w:type="spellEnd"/>
          </w:p>
          <w:p w:rsidR="00EF3090" w:rsidRDefault="00EF3090" w:rsidP="00EF309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Мотивувати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педагогів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ІКТ в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навчально-виховній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діяльності</w:t>
            </w:r>
            <w:proofErr w:type="spellEnd"/>
          </w:p>
          <w:p w:rsidR="00EF3090" w:rsidRDefault="00EF3090" w:rsidP="00EF309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педагогів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користуватися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сайтом та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наповнювати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його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необхідною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інформацією</w:t>
            </w:r>
            <w:proofErr w:type="spellEnd"/>
          </w:p>
          <w:p w:rsidR="00EF3090" w:rsidRDefault="00EF3090" w:rsidP="00EF309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Проводити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семінари-практикуми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використанню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інтернет-ресурсів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,х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марних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сервісів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Google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додатків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тощо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Ознайомити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та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посилання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відкриті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онлайн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курси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розвитку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ІКТ компетентностей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педагогів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та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сайті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безкоштовний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доступ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електронних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періодичних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видань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які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ідписаний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заклад.</w:t>
            </w:r>
          </w:p>
          <w:p w:rsidR="00EF3090" w:rsidRDefault="00EF3090" w:rsidP="00EF3090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Методичні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рекомендації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проектування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інформаційного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освітнього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середовища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установи</w:t>
            </w:r>
          </w:p>
          <w:p w:rsidR="00EF3090" w:rsidRDefault="00EF3090" w:rsidP="00EF309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Створити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сайт закладу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освіти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наповнити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його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та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своєчасно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оновлювати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інформацію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ньому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Створення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відкритої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онлайн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спільноти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ознайомлення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діяльністю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навчального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зайкладу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, для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взаємодії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батьками.</w:t>
            </w:r>
          </w:p>
          <w:p w:rsidR="00EF3090" w:rsidRDefault="00EF3090" w:rsidP="00EF3090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Рекомендації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до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модернізац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ії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ІТ</w:t>
            </w:r>
            <w:proofErr w:type="gram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інфраструктури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Придбати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кноутбук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музично-фізкультурний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зал та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поставити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там проектор з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інтерактивною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дошкою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Придбання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по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одому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телевізору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екрану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) на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групу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портом USB/</w:t>
            </w:r>
          </w:p>
          <w:p w:rsidR="00EF3090" w:rsidRDefault="00EF3090" w:rsidP="00EF309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Забеспечити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бездротовий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інтернет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з великим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радіусом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wi-fi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мережі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Default="00EF3090" w:rsidP="00EF309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lastRenderedPageBreak/>
              <w:t>Оновити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акустичну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систему в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музично-фізкультурному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залі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.</w:t>
            </w:r>
          </w:p>
          <w:p w:rsidR="00EF3090" w:rsidRPr="00913232" w:rsidRDefault="00EF3090" w:rsidP="00EF3090">
            <w:pPr>
              <w:rPr>
                <w:sz w:val="28"/>
                <w:szCs w:val="28"/>
                <w:lang w:val="en-US"/>
              </w:rPr>
            </w:pPr>
          </w:p>
          <w:p w:rsidR="00EF3090" w:rsidRDefault="00EF3090" w:rsidP="00EF3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Висновки</w:t>
            </w:r>
            <w:proofErr w:type="spellEnd"/>
          </w:p>
          <w:p w:rsidR="00EF3090" w:rsidRDefault="00EF3090" w:rsidP="00EF3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ІКТ на уроках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початковій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ідвищити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набутих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взаємодії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батьками,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здібності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необхідною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подальшої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особистості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сучасному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F3090" w:rsidRPr="00EF3090" w:rsidRDefault="00EF3090" w:rsidP="00854E39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val="en-US" w:eastAsia="ru-RU"/>
              </w:rPr>
            </w:pPr>
          </w:p>
          <w:p w:rsidR="00851466" w:rsidRDefault="00851466" w:rsidP="0085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ідея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базується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інформаційно-комунікаційних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зацікавити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зробити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захопливим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яскравим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насиченим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сприяти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ефективнішому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школярів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матимуть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слухати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висловлювати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думки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сучасними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розв'язання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життєвих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1466" w:rsidRDefault="00851466" w:rsidP="00851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комп'ютерних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конструкторів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тренажерів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анімації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створює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мультимедійний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контент уроку.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Принциповим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гармонійне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поєднання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комп'ютерної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грамоти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літературним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математикою,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природознавством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образотворчим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мистецтвом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і, як результат, 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нового,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якісного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сучасного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інтегрованого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уроку.</w:t>
            </w:r>
          </w:p>
          <w:p w:rsidR="00CC5F52" w:rsidRPr="00437793" w:rsidRDefault="00CC5F52" w:rsidP="00EF3090">
            <w:pPr>
              <w:shd w:val="clear" w:color="auto" w:fill="FFFFFF"/>
              <w:spacing w:before="100" w:beforeAutospacing="1" w:after="24" w:line="360" w:lineRule="atLeast"/>
              <w:ind w:left="768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C5F52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F52" w:rsidRPr="00437793" w:rsidRDefault="00CC5F52" w:rsidP="004658C6">
            <w:pPr>
              <w:spacing w:after="0" w:line="240" w:lineRule="auto"/>
              <w:ind w:right="-37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C5F52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F52" w:rsidRPr="00437793" w:rsidRDefault="00CC5F52" w:rsidP="00CC5F52">
            <w:pPr>
              <w:spacing w:after="0" w:line="240" w:lineRule="auto"/>
              <w:ind w:right="-37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C5F52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F52" w:rsidRPr="00437793" w:rsidRDefault="00CC5F52" w:rsidP="00CC5F52">
            <w:pPr>
              <w:spacing w:after="0" w:line="240" w:lineRule="auto"/>
              <w:ind w:right="-37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C5F52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5F52" w:rsidRPr="00437793" w:rsidRDefault="00434B41" w:rsidP="00434B41">
            <w:pPr>
              <w:spacing w:after="0" w:line="240" w:lineRule="auto"/>
              <w:ind w:right="-37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437793" w:rsidRPr="00437793" w:rsidTr="00CC5F52">
        <w:trPr>
          <w:gridAfter w:val="3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CC5F52">
            <w:pPr>
              <w:spacing w:after="0" w:line="240" w:lineRule="auto"/>
              <w:ind w:right="-3776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37793" w:rsidRPr="00437793" w:rsidTr="00CC5F52">
        <w:trPr>
          <w:gridAfter w:val="1"/>
          <w:tblCellSpacing w:w="15" w:type="dxa"/>
        </w:trPr>
        <w:tc>
          <w:tcPr>
            <w:tcW w:w="5730" w:type="dxa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ind w:right="-3776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37793" w:rsidRPr="00437793" w:rsidTr="00CC5F52">
        <w:trPr>
          <w:gridAfter w:val="1"/>
          <w:tblCellSpacing w:w="15" w:type="dxa"/>
        </w:trPr>
        <w:tc>
          <w:tcPr>
            <w:tcW w:w="5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7820DB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437793">
        <w:trPr>
          <w:tblCellSpacing w:w="15" w:type="dxa"/>
        </w:trPr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43779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437793">
        <w:trPr>
          <w:tblCellSpacing w:w="15" w:type="dxa"/>
        </w:trPr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43779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437793">
        <w:trPr>
          <w:tblCellSpacing w:w="15" w:type="dxa"/>
        </w:trPr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437793" w:rsidRPr="00437793" w:rsidTr="00CC5F5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793" w:rsidRPr="00437793" w:rsidRDefault="00437793" w:rsidP="0043779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1898" w:rsidRPr="00437793" w:rsidRDefault="006B1898" w:rsidP="00437793"/>
    <w:sectPr w:rsidR="006B1898" w:rsidRPr="0043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706"/>
    <w:multiLevelType w:val="hybridMultilevel"/>
    <w:tmpl w:val="9B06D2A6"/>
    <w:lvl w:ilvl="0" w:tplc="FAF2B9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5B4"/>
    <w:multiLevelType w:val="multilevel"/>
    <w:tmpl w:val="9C62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7382B"/>
    <w:multiLevelType w:val="multilevel"/>
    <w:tmpl w:val="1AA2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6CC"/>
    <w:multiLevelType w:val="multilevel"/>
    <w:tmpl w:val="1E70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FF2D7D"/>
    <w:multiLevelType w:val="multilevel"/>
    <w:tmpl w:val="99F0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4247F"/>
    <w:multiLevelType w:val="multilevel"/>
    <w:tmpl w:val="96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D62A8C"/>
    <w:multiLevelType w:val="multilevel"/>
    <w:tmpl w:val="D88C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B5B42"/>
    <w:multiLevelType w:val="multilevel"/>
    <w:tmpl w:val="5AB2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37"/>
    <w:rsid w:val="00081C21"/>
    <w:rsid w:val="00346789"/>
    <w:rsid w:val="003E2E07"/>
    <w:rsid w:val="00434B41"/>
    <w:rsid w:val="00437793"/>
    <w:rsid w:val="00541AF3"/>
    <w:rsid w:val="005A2AAF"/>
    <w:rsid w:val="00653FC6"/>
    <w:rsid w:val="006B1898"/>
    <w:rsid w:val="007820DB"/>
    <w:rsid w:val="007A7F3D"/>
    <w:rsid w:val="00851466"/>
    <w:rsid w:val="00854E39"/>
    <w:rsid w:val="00875DE6"/>
    <w:rsid w:val="008D6137"/>
    <w:rsid w:val="00913232"/>
    <w:rsid w:val="0097327E"/>
    <w:rsid w:val="00CC5F52"/>
    <w:rsid w:val="00CE6A40"/>
    <w:rsid w:val="00DE392B"/>
    <w:rsid w:val="00EF2111"/>
    <w:rsid w:val="00EF3090"/>
    <w:rsid w:val="00F12C26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F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F3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F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7F3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vk-viktoriya.hol.e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oryjumper.com/book/index/66425895/5c8eb15436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1FC2-18A1-46BE-A7E1-7D79466C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AleShka</dc:creator>
  <cp:keywords/>
  <dc:description/>
  <cp:lastModifiedBy>AleShka</cp:lastModifiedBy>
  <cp:revision>24</cp:revision>
  <dcterms:created xsi:type="dcterms:W3CDTF">2019-10-30T18:52:00Z</dcterms:created>
  <dcterms:modified xsi:type="dcterms:W3CDTF">2019-11-07T09:09:00Z</dcterms:modified>
</cp:coreProperties>
</file>